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360" w:lineRule="auto"/>
        <w:rPr>
          <w:rFonts w:ascii="Times New Roman" w:cs="Times New Roman" w:eastAsia="Times New Roman" w:hAnsi="Times New Roman"/>
          <w:b w:val="1"/>
          <w:color w:val="7bc364"/>
          <w:sz w:val="2"/>
          <w:szCs w:val="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-914399</wp:posOffset>
                </wp:positionH>
                <wp:positionV relativeFrom="paragraph">
                  <wp:posOffset>0</wp:posOffset>
                </wp:positionV>
                <wp:extent cx="7794625" cy="770897"/>
                <wp:effectExtent b="0" l="0" r="0" t="0"/>
                <wp:wrapTopAndBottom distB="0" distT="0"/>
                <wp:docPr id="1" name=""/>
                <a:graphic>
                  <a:graphicData uri="http://schemas.microsoft.com/office/word/2010/wordprocessingShape">
                    <wps:wsp>
                      <wps:cNvSpPr/>
                      <wps:cNvPr id="2" name="Shape 2"/>
                      <wps:spPr>
                        <a:xfrm>
                          <a:off x="1453450" y="2614775"/>
                          <a:ext cx="7785000" cy="751500"/>
                        </a:xfrm>
                        <a:prstGeom prst="rect">
                          <a:avLst/>
                        </a:prstGeom>
                        <a:solidFill>
                          <a:srgbClr val="F9AB47">
                            <a:alpha val="63140"/>
                          </a:srgbClr>
                        </a:solidFill>
                        <a:ln>
                          <a:noFill/>
                        </a:ln>
                      </wps:spPr>
                      <wps:txbx>
                        <w:txbxContent>
                          <w:p w:rsidR="00000000" w:rsidDel="00000000" w:rsidP="00000000" w:rsidRDefault="00000000" w:rsidRPr="00000000">
                            <w:pPr>
                              <w:spacing w:after="60" w:before="0" w:line="240"/>
                              <w:ind w:left="-720" w:right="-720" w:firstLine="-720"/>
                              <w:jc w:val="center"/>
                              <w:textDirection w:val="btLr"/>
                            </w:pPr>
                            <w:r w:rsidDel="00000000" w:rsidR="00000000" w:rsidRPr="00000000">
                              <w:rPr>
                                <w:rFonts w:ascii="Times New Roman" w:cs="Times New Roman" w:eastAsia="Times New Roman" w:hAnsi="Times New Roman"/>
                                <w:b w:val="0"/>
                                <w:i w:val="0"/>
                                <w:smallCaps w:val="0"/>
                                <w:strike w:val="0"/>
                                <w:color w:val="000000"/>
                                <w:sz w:val="62"/>
                                <w:vertAlign w:val="baseline"/>
                              </w:rPr>
                              <w:t xml:space="preserve">New team travel policy for Notifiable Diseases*</w:t>
                            </w:r>
                          </w:p>
                        </w:txbxContent>
                      </wps:txbx>
                      <wps:bodyPr anchorCtr="0" anchor="ctr" bIns="18287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0</wp:posOffset>
                </wp:positionV>
                <wp:extent cx="7794625" cy="770897"/>
                <wp:effectExtent b="0" l="0" r="0" t="0"/>
                <wp:wrapTopAndBottom distB="0" distT="0"/>
                <wp:docPr id="1"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7794625" cy="770897"/>
                        </a:xfrm>
                        <a:prstGeom prst="rect"/>
                        <a:ln/>
                      </pic:spPr>
                    </pic:pic>
                  </a:graphicData>
                </a:graphic>
              </wp:anchor>
            </w:drawing>
          </mc:Fallback>
        </mc:AlternateContent>
      </w:r>
    </w:p>
    <w:p w:rsidR="00000000" w:rsidDel="00000000" w:rsidP="00000000" w:rsidRDefault="00000000" w:rsidRPr="00000000" w14:paraId="00000002">
      <w:pPr>
        <w:spacing w:before="360" w:lineRule="auto"/>
        <w:rPr>
          <w:rFonts w:ascii="Times New Roman" w:cs="Times New Roman" w:eastAsia="Times New Roman" w:hAnsi="Times New Roman"/>
          <w:b w:val="1"/>
          <w:color w:val="7bc364"/>
        </w:rPr>
      </w:pPr>
      <w:r w:rsidDel="00000000" w:rsidR="00000000" w:rsidRPr="00000000">
        <w:rPr>
          <w:rFonts w:ascii="Times New Roman" w:cs="Times New Roman" w:eastAsia="Times New Roman" w:hAnsi="Times New Roman"/>
          <w:b w:val="1"/>
          <w:color w:val="7bc364"/>
          <w:sz w:val="36"/>
          <w:szCs w:val="36"/>
          <w:rtl w:val="0"/>
        </w:rPr>
        <w:t xml:space="preserve">Steps to take when an athlete becomes symptomatic**/sick during a team travel trip</w:t>
      </w:r>
      <w:r w:rsidDel="00000000" w:rsidR="00000000" w:rsidRPr="00000000">
        <w:rPr>
          <w:rFonts w:ascii="Times New Roman" w:cs="Times New Roman" w:eastAsia="Times New Roman" w:hAnsi="Times New Roman"/>
          <w:b w:val="1"/>
          <w:color w:val="7bc364"/>
          <w:sz w:val="36"/>
          <w:szCs w:val="36"/>
          <w:rtl w:val="0"/>
        </w:rPr>
        <w:t xml:space="preserve">: </w:t>
      </w:r>
      <w:r w:rsidDel="00000000" w:rsidR="00000000" w:rsidRPr="00000000">
        <w:rPr>
          <w:rtl w:val="0"/>
        </w:rPr>
      </w:r>
    </w:p>
    <w:p w:rsidR="00000000" w:rsidDel="00000000" w:rsidP="00000000" w:rsidRDefault="00000000" w:rsidRPr="00000000" w14:paraId="00000003">
      <w:pPr>
        <w:numPr>
          <w:ilvl w:val="0"/>
          <w:numId w:val="2"/>
        </w:numPr>
        <w:spacing w:after="0" w:afterAutospacing="0"/>
        <w:ind w:left="720" w:hanging="360"/>
        <w:rPr>
          <w:u w:val="none"/>
        </w:rPr>
      </w:pPr>
      <w:r w:rsidDel="00000000" w:rsidR="00000000" w:rsidRPr="00000000">
        <w:rPr>
          <w:rtl w:val="0"/>
        </w:rPr>
        <w:t xml:space="preserve">Immediately isolate the athlete.</w:t>
      </w:r>
    </w:p>
    <w:p w:rsidR="00000000" w:rsidDel="00000000" w:rsidP="00000000" w:rsidRDefault="00000000" w:rsidRPr="00000000" w14:paraId="00000004">
      <w:pPr>
        <w:numPr>
          <w:ilvl w:val="0"/>
          <w:numId w:val="2"/>
        </w:numPr>
        <w:spacing w:after="0" w:afterAutospacing="0"/>
        <w:ind w:left="720" w:hanging="360"/>
        <w:rPr>
          <w:u w:val="none"/>
        </w:rPr>
      </w:pPr>
      <w:r w:rsidDel="00000000" w:rsidR="00000000" w:rsidRPr="00000000">
        <w:rPr>
          <w:rtl w:val="0"/>
        </w:rPr>
        <w:t xml:space="preserve">Notify the athlete’s parent/guardian and the zone team manager.</w:t>
      </w:r>
    </w:p>
    <w:p w:rsidR="00000000" w:rsidDel="00000000" w:rsidP="00000000" w:rsidRDefault="00000000" w:rsidRPr="00000000" w14:paraId="00000005">
      <w:pPr>
        <w:numPr>
          <w:ilvl w:val="0"/>
          <w:numId w:val="2"/>
        </w:numPr>
        <w:spacing w:after="0" w:afterAutospacing="0"/>
        <w:ind w:left="720" w:hanging="360"/>
        <w:rPr>
          <w:u w:val="none"/>
        </w:rPr>
      </w:pPr>
      <w:r w:rsidDel="00000000" w:rsidR="00000000" w:rsidRPr="00000000">
        <w:rPr>
          <w:rtl w:val="0"/>
        </w:rPr>
        <w:t xml:space="preserve">Seek medical attention for the athlete (ER, urgent care, etc.). Have the athlete tested for suspected illnesses and obtain the test results.</w:t>
      </w:r>
    </w:p>
    <w:p w:rsidR="00000000" w:rsidDel="00000000" w:rsidP="00000000" w:rsidRDefault="00000000" w:rsidRPr="00000000" w14:paraId="00000006">
      <w:pPr>
        <w:numPr>
          <w:ilvl w:val="0"/>
          <w:numId w:val="2"/>
        </w:numPr>
        <w:ind w:left="720" w:hanging="360"/>
        <w:rPr>
          <w:u w:val="none"/>
        </w:rPr>
      </w:pPr>
      <w:r w:rsidDel="00000000" w:rsidR="00000000" w:rsidRPr="00000000">
        <w:rPr>
          <w:rtl w:val="0"/>
        </w:rPr>
        <w:t xml:space="preserve">If the illness test result is positive, the athlete needs to leave the venue and return home as soon as it can be safely done. In the interim, the athlete should remain quarantined in a private room.</w:t>
      </w:r>
    </w:p>
    <w:p w:rsidR="00000000" w:rsidDel="00000000" w:rsidP="00000000" w:rsidRDefault="00000000" w:rsidRPr="00000000" w14:paraId="00000007">
      <w:pPr>
        <w:rPr/>
      </w:pPr>
      <w:r w:rsidDel="00000000" w:rsidR="00000000" w:rsidRPr="00000000">
        <w:rPr/>
        <w:drawing>
          <wp:inline distB="114300" distT="114300" distL="114300" distR="114300">
            <wp:extent cx="5943600" cy="4457700"/>
            <wp:effectExtent b="12700" l="12700" r="12700" t="127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44577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pPr>
      <w:r w:rsidDel="00000000" w:rsidR="00000000" w:rsidRPr="00000000">
        <w:rPr>
          <w:rtl w:val="0"/>
        </w:rPr>
      </w:r>
    </w:p>
    <w:p w:rsidR="00000000" w:rsidDel="00000000" w:rsidP="00000000" w:rsidRDefault="00000000" w:rsidRPr="00000000" w14:paraId="00000009">
      <w:pPr>
        <w:spacing w:after="0" w:line="276" w:lineRule="auto"/>
        <w:ind w:left="-720" w:right="-720" w:firstLine="0"/>
        <w:rPr>
          <w:i w:val="1"/>
        </w:rPr>
      </w:pPr>
      <w:r w:rsidDel="00000000" w:rsidR="00000000" w:rsidRPr="00000000">
        <w:rPr>
          <w:i w:val="1"/>
          <w:rtl w:val="0"/>
        </w:rPr>
        <w:t xml:space="preserve">*Notifiable disease – Any disease required by law to be reported to government authorities. The following are identified as Notifiable Diseases by the Georgia Department of Public Health:</w:t>
      </w:r>
    </w:p>
    <w:tbl>
      <w:tblPr>
        <w:tblStyle w:val="Table1"/>
        <w:tblW w:w="10080.0" w:type="dxa"/>
        <w:jc w:val="left"/>
        <w:tblInd w:w="-720.0" w:type="dxa"/>
        <w:tblLayout w:type="fixed"/>
        <w:tblLook w:val="0600"/>
      </w:tblPr>
      <w:tblGrid>
        <w:gridCol w:w="3030"/>
        <w:gridCol w:w="3915"/>
        <w:gridCol w:w="3135"/>
        <w:tblGridChange w:id="0">
          <w:tblGrid>
            <w:gridCol w:w="3030"/>
            <w:gridCol w:w="3915"/>
            <w:gridCol w:w="31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numPr>
                <w:ilvl w:val="0"/>
                <w:numId w:val="1"/>
              </w:numPr>
              <w:spacing w:after="0" w:line="276" w:lineRule="auto"/>
              <w:ind w:left="720" w:right="-720" w:hanging="360"/>
              <w:rPr/>
            </w:pPr>
            <w:r w:rsidDel="00000000" w:rsidR="00000000" w:rsidRPr="00000000">
              <w:rPr>
                <w:rtl w:val="0"/>
              </w:rPr>
              <w:t xml:space="preserve">Animal bites</w:t>
            </w:r>
          </w:p>
          <w:p w:rsidR="00000000" w:rsidDel="00000000" w:rsidP="00000000" w:rsidRDefault="00000000" w:rsidRPr="00000000" w14:paraId="0000000B">
            <w:pPr>
              <w:numPr>
                <w:ilvl w:val="0"/>
                <w:numId w:val="1"/>
              </w:numPr>
              <w:spacing w:after="0" w:line="276" w:lineRule="auto"/>
              <w:ind w:left="720" w:right="-720" w:hanging="360"/>
              <w:rPr/>
            </w:pPr>
            <w:r w:rsidDel="00000000" w:rsidR="00000000" w:rsidRPr="00000000">
              <w:rPr>
                <w:rtl w:val="0"/>
              </w:rPr>
              <w:t xml:space="preserve">Botulism</w:t>
            </w:r>
          </w:p>
          <w:p w:rsidR="00000000" w:rsidDel="00000000" w:rsidP="00000000" w:rsidRDefault="00000000" w:rsidRPr="00000000" w14:paraId="0000000C">
            <w:pPr>
              <w:numPr>
                <w:ilvl w:val="0"/>
                <w:numId w:val="1"/>
              </w:numPr>
              <w:spacing w:after="0" w:line="276" w:lineRule="auto"/>
              <w:ind w:left="720" w:right="-720" w:hanging="360"/>
              <w:rPr/>
            </w:pPr>
            <w:r w:rsidDel="00000000" w:rsidR="00000000" w:rsidRPr="00000000">
              <w:rPr>
                <w:rtl w:val="0"/>
              </w:rPr>
              <w:t xml:space="preserve">Diptheria</w:t>
            </w:r>
          </w:p>
          <w:p w:rsidR="00000000" w:rsidDel="00000000" w:rsidP="00000000" w:rsidRDefault="00000000" w:rsidRPr="00000000" w14:paraId="0000000D">
            <w:pPr>
              <w:widowControl w:val="0"/>
              <w:numPr>
                <w:ilvl w:val="0"/>
                <w:numId w:val="1"/>
              </w:numPr>
              <w:spacing w:after="0" w:line="240" w:lineRule="auto"/>
              <w:ind w:left="720" w:hanging="360"/>
              <w:rPr>
                <w:i w:val="1"/>
              </w:rPr>
            </w:pPr>
            <w:r w:rsidDel="00000000" w:rsidR="00000000" w:rsidRPr="00000000">
              <w:rPr>
                <w:i w:val="1"/>
                <w:rtl w:val="0"/>
              </w:rPr>
              <w:t xml:space="preserve">E. Coli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numPr>
                <w:ilvl w:val="0"/>
                <w:numId w:val="1"/>
              </w:numPr>
              <w:spacing w:after="0" w:line="276" w:lineRule="auto"/>
              <w:ind w:left="720" w:right="-720" w:hanging="360"/>
              <w:rPr/>
            </w:pPr>
            <w:r w:rsidDel="00000000" w:rsidR="00000000" w:rsidRPr="00000000">
              <w:rPr>
                <w:rtl w:val="0"/>
              </w:rPr>
              <w:t xml:space="preserve">Influenza</w:t>
            </w:r>
          </w:p>
          <w:p w:rsidR="00000000" w:rsidDel="00000000" w:rsidP="00000000" w:rsidRDefault="00000000" w:rsidRPr="00000000" w14:paraId="0000000F">
            <w:pPr>
              <w:numPr>
                <w:ilvl w:val="0"/>
                <w:numId w:val="1"/>
              </w:numPr>
              <w:spacing w:after="0" w:line="276" w:lineRule="auto"/>
              <w:ind w:left="720" w:right="-720" w:hanging="360"/>
              <w:rPr/>
            </w:pPr>
            <w:r w:rsidDel="00000000" w:rsidR="00000000" w:rsidRPr="00000000">
              <w:rPr>
                <w:rtl w:val="0"/>
              </w:rPr>
              <w:t xml:space="preserve">Measles</w:t>
            </w:r>
          </w:p>
          <w:p w:rsidR="00000000" w:rsidDel="00000000" w:rsidP="00000000" w:rsidRDefault="00000000" w:rsidRPr="00000000" w14:paraId="00000010">
            <w:pPr>
              <w:numPr>
                <w:ilvl w:val="0"/>
                <w:numId w:val="1"/>
              </w:numPr>
              <w:spacing w:after="0" w:line="276" w:lineRule="auto"/>
              <w:ind w:left="720" w:right="-720" w:hanging="360"/>
              <w:rPr/>
            </w:pPr>
            <w:r w:rsidDel="00000000" w:rsidR="00000000" w:rsidRPr="00000000">
              <w:rPr>
                <w:rtl w:val="0"/>
              </w:rPr>
              <w:t xml:space="preserve">Meningitis</w:t>
            </w:r>
          </w:p>
          <w:p w:rsidR="00000000" w:rsidDel="00000000" w:rsidP="00000000" w:rsidRDefault="00000000" w:rsidRPr="00000000" w14:paraId="00000011">
            <w:pPr>
              <w:widowControl w:val="0"/>
              <w:numPr>
                <w:ilvl w:val="0"/>
                <w:numId w:val="1"/>
              </w:numPr>
              <w:spacing w:after="0" w:line="240" w:lineRule="auto"/>
              <w:ind w:left="720" w:hanging="360"/>
              <w:rPr/>
            </w:pPr>
            <w:r w:rsidDel="00000000" w:rsidR="00000000" w:rsidRPr="00000000">
              <w:rPr>
                <w:rtl w:val="0"/>
              </w:rPr>
              <w:t xml:space="preserve">Novel respiratory viruses (i.e., COVID-19, SARS, MERS)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numPr>
                <w:ilvl w:val="0"/>
                <w:numId w:val="3"/>
              </w:numPr>
              <w:spacing w:after="0" w:line="276" w:lineRule="auto"/>
              <w:ind w:left="720" w:right="-720" w:hanging="360"/>
              <w:rPr/>
            </w:pPr>
            <w:r w:rsidDel="00000000" w:rsidR="00000000" w:rsidRPr="00000000">
              <w:rPr>
                <w:rtl w:val="0"/>
              </w:rPr>
              <w:t xml:space="preserve">Pertusis</w:t>
            </w:r>
          </w:p>
          <w:p w:rsidR="00000000" w:rsidDel="00000000" w:rsidP="00000000" w:rsidRDefault="00000000" w:rsidRPr="00000000" w14:paraId="00000013">
            <w:pPr>
              <w:numPr>
                <w:ilvl w:val="0"/>
                <w:numId w:val="3"/>
              </w:numPr>
              <w:spacing w:after="0" w:line="276" w:lineRule="auto"/>
              <w:ind w:left="720" w:right="-720" w:hanging="360"/>
              <w:rPr/>
            </w:pPr>
            <w:r w:rsidDel="00000000" w:rsidR="00000000" w:rsidRPr="00000000">
              <w:rPr>
                <w:rtl w:val="0"/>
              </w:rPr>
              <w:t xml:space="preserve">Staph infections</w:t>
            </w:r>
          </w:p>
          <w:p w:rsidR="00000000" w:rsidDel="00000000" w:rsidP="00000000" w:rsidRDefault="00000000" w:rsidRPr="00000000" w14:paraId="00000014">
            <w:pPr>
              <w:numPr>
                <w:ilvl w:val="0"/>
                <w:numId w:val="3"/>
              </w:numPr>
              <w:spacing w:after="0" w:line="276" w:lineRule="auto"/>
              <w:ind w:left="720" w:right="-720" w:hanging="360"/>
              <w:rPr/>
            </w:pPr>
            <w:r w:rsidDel="00000000" w:rsidR="00000000" w:rsidRPr="00000000">
              <w:rPr>
                <w:rtl w:val="0"/>
              </w:rPr>
              <w:t xml:space="preserve">Tuberculosis</w:t>
            </w:r>
          </w:p>
          <w:p w:rsidR="00000000" w:rsidDel="00000000" w:rsidP="00000000" w:rsidRDefault="00000000" w:rsidRPr="00000000" w14:paraId="00000015">
            <w:pPr>
              <w:widowControl w:val="0"/>
              <w:numPr>
                <w:ilvl w:val="0"/>
                <w:numId w:val="3"/>
              </w:numPr>
              <w:spacing w:after="0" w:line="240" w:lineRule="auto"/>
              <w:ind w:left="720" w:hanging="360"/>
              <w:rPr/>
            </w:pPr>
            <w:r w:rsidDel="00000000" w:rsidR="00000000" w:rsidRPr="00000000">
              <w:rPr>
                <w:rtl w:val="0"/>
              </w:rPr>
              <w:t xml:space="preserve">Legionnaires Disease</w:t>
            </w:r>
          </w:p>
        </w:tc>
      </w:tr>
    </w:tbl>
    <w:p w:rsidR="00000000" w:rsidDel="00000000" w:rsidP="00000000" w:rsidRDefault="00000000" w:rsidRPr="00000000" w14:paraId="00000016">
      <w:pPr>
        <w:spacing w:after="0" w:line="276" w:lineRule="auto"/>
        <w:ind w:left="-720" w:right="-720" w:firstLine="0"/>
        <w:rPr>
          <w:i w:val="1"/>
        </w:rPr>
      </w:pPr>
      <w:r w:rsidDel="00000000" w:rsidR="00000000" w:rsidRPr="00000000">
        <w:rPr>
          <w:i w:val="1"/>
          <w:rtl w:val="0"/>
        </w:rPr>
        <w:t xml:space="preserve">A complete list of Notifiable Diseases is available </w:t>
      </w:r>
      <w:hyperlink r:id="rId8">
        <w:r w:rsidDel="00000000" w:rsidR="00000000" w:rsidRPr="00000000">
          <w:rPr>
            <w:i w:val="1"/>
            <w:color w:val="1155cc"/>
            <w:u w:val="single"/>
            <w:rtl w:val="0"/>
          </w:rPr>
          <w:t xml:space="preserve">on their website</w:t>
        </w:r>
      </w:hyperlink>
      <w:r w:rsidDel="00000000" w:rsidR="00000000" w:rsidRPr="00000000">
        <w:rPr>
          <w:i w:val="1"/>
          <w:rtl w:val="0"/>
        </w:rPr>
        <w:t xml:space="preserve">.</w:t>
      </w:r>
    </w:p>
    <w:p w:rsidR="00000000" w:rsidDel="00000000" w:rsidP="00000000" w:rsidRDefault="00000000" w:rsidRPr="00000000" w14:paraId="00000017">
      <w:pPr>
        <w:spacing w:after="0" w:line="276" w:lineRule="auto"/>
        <w:ind w:left="-720" w:right="-720" w:firstLine="0"/>
        <w:rPr/>
      </w:pPr>
      <w:r w:rsidDel="00000000" w:rsidR="00000000" w:rsidRPr="00000000">
        <w:rPr>
          <w:rtl w:val="0"/>
        </w:rPr>
      </w:r>
    </w:p>
    <w:p w:rsidR="00000000" w:rsidDel="00000000" w:rsidP="00000000" w:rsidRDefault="00000000" w:rsidRPr="00000000" w14:paraId="00000018">
      <w:pPr>
        <w:spacing w:after="0" w:line="276" w:lineRule="auto"/>
        <w:ind w:left="-720" w:right="-720" w:firstLine="0"/>
        <w:rPr/>
      </w:pPr>
      <w:r w:rsidDel="00000000" w:rsidR="00000000" w:rsidRPr="00000000">
        <w:rPr>
          <w:rtl w:val="0"/>
        </w:rPr>
      </w:r>
    </w:p>
    <w:p w:rsidR="00000000" w:rsidDel="00000000" w:rsidP="00000000" w:rsidRDefault="00000000" w:rsidRPr="00000000" w14:paraId="00000019">
      <w:pPr>
        <w:spacing w:after="0" w:line="276" w:lineRule="auto"/>
        <w:ind w:left="-720" w:right="-720" w:firstLine="0"/>
        <w:rPr/>
      </w:pPr>
      <w:r w:rsidDel="00000000" w:rsidR="00000000" w:rsidRPr="00000000">
        <w:rPr>
          <w:i w:val="1"/>
          <w:rtl w:val="0"/>
        </w:rPr>
        <w:t xml:space="preserve">**Symptomatic – When a participant begins to experience symptoms of any illness (i.e., COVID-19) while attending an overnight experience/trip.</w:t>
      </w:r>
      <w:r w:rsidDel="00000000" w:rsidR="00000000" w:rsidRPr="00000000">
        <w:rPr>
          <w:rtl w:val="0"/>
        </w:rPr>
      </w:r>
    </w:p>
    <w:sectPr>
      <w:headerReference r:id="rId9" w:type="default"/>
      <w:pgSz w:h="15840" w:w="12240" w:orient="portrait"/>
      <w:pgMar w:bottom="1440" w:top="1440" w:left="1440" w:right="1440" w:header="432"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443318" cy="858898"/>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43318" cy="85889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280" w:lineRule="auto"/>
    </w:pPr>
    <w:rPr>
      <w:rFonts w:ascii="Times New Roman" w:cs="Times New Roman" w:eastAsia="Times New Roman" w:hAnsi="Times New Roman"/>
      <w:b w:val="1"/>
      <w:color w:val="7bc364"/>
      <w:sz w:val="36"/>
      <w:szCs w:val="36"/>
    </w:rPr>
  </w:style>
  <w:style w:type="paragraph" w:styleId="Heading3">
    <w:name w:val="heading 3"/>
    <w:basedOn w:val="Normal"/>
    <w:next w:val="Normal"/>
    <w:pPr>
      <w:keepNext w:val="1"/>
      <w:keepLines w:val="1"/>
      <w:spacing w:after="0" w:before="240" w:lineRule="auto"/>
      <w:ind w:left="288"/>
    </w:pPr>
    <w:rPr>
      <w:rFonts w:ascii="Times New Roman" w:cs="Times New Roman" w:eastAsia="Times New Roman" w:hAnsi="Times New Roman"/>
      <w:b w:val="1"/>
      <w:color w:val="1f3863"/>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top w:color="f9ab47" w:space="12" w:sz="4" w:val="single"/>
        <w:bottom w:color="f9ab47" w:space="12" w:sz="4" w:val="single"/>
      </w:pBdr>
      <w:shd w:fill="f9ab47" w:val="clear"/>
      <w:spacing w:after="360" w:before="240" w:line="240" w:lineRule="auto"/>
    </w:pPr>
    <w:rPr>
      <w:rFonts w:ascii="Calibri" w:cs="Calibri" w:eastAsia="Calibri" w:hAnsi="Calibri"/>
      <w:b w:val="1"/>
      <w:i w:val="1"/>
      <w:color w:val="ffffff"/>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hyperlink" Target="https://dph.georgia.gov/media/63386/downlo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